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53C" w:rsidRDefault="0077653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6"/>
        <w:gridCol w:w="1229"/>
        <w:gridCol w:w="1417"/>
        <w:gridCol w:w="3686"/>
        <w:gridCol w:w="1417"/>
        <w:gridCol w:w="5919"/>
      </w:tblGrid>
      <w:tr w:rsidR="00EB7D31" w:rsidTr="00A63C9F">
        <w:tc>
          <w:tcPr>
            <w:tcW w:w="326" w:type="dxa"/>
          </w:tcPr>
          <w:p w:rsidR="00EB7D31" w:rsidRDefault="00EB7D31"/>
        </w:tc>
        <w:tc>
          <w:tcPr>
            <w:tcW w:w="1229" w:type="dxa"/>
          </w:tcPr>
          <w:p w:rsidR="00EB7D31" w:rsidRPr="00EB7D31" w:rsidRDefault="00EB7D31">
            <w:pPr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EB7D31" w:rsidRPr="00EB7D31" w:rsidRDefault="00EB7D31" w:rsidP="00EB7D31">
            <w:pPr>
              <w:jc w:val="center"/>
              <w:rPr>
                <w:b/>
              </w:rPr>
            </w:pPr>
            <w:r>
              <w:rPr>
                <w:b/>
              </w:rPr>
              <w:t>Jednostka redakcyjna, do której wnoszone są uwagi</w:t>
            </w:r>
          </w:p>
        </w:tc>
        <w:tc>
          <w:tcPr>
            <w:tcW w:w="3686" w:type="dxa"/>
            <w:vAlign w:val="center"/>
          </w:tcPr>
          <w:p w:rsidR="00EB7D31" w:rsidRPr="00EB7D31" w:rsidRDefault="00EB7D31" w:rsidP="00EB7D31">
            <w:pPr>
              <w:jc w:val="center"/>
              <w:rPr>
                <w:b/>
              </w:rPr>
            </w:pPr>
            <w:r>
              <w:rPr>
                <w:b/>
              </w:rPr>
              <w:t>Treść uwagi</w:t>
            </w:r>
          </w:p>
        </w:tc>
        <w:tc>
          <w:tcPr>
            <w:tcW w:w="1417" w:type="dxa"/>
            <w:vAlign w:val="center"/>
          </w:tcPr>
          <w:p w:rsidR="00EB7D31" w:rsidRPr="00EB7D31" w:rsidRDefault="00EB7D31" w:rsidP="00EB7D31">
            <w:pPr>
              <w:jc w:val="center"/>
              <w:rPr>
                <w:b/>
              </w:rPr>
            </w:pPr>
            <w:r>
              <w:rPr>
                <w:b/>
              </w:rPr>
              <w:t>Propozycja zmian zapisu</w:t>
            </w:r>
          </w:p>
        </w:tc>
        <w:tc>
          <w:tcPr>
            <w:tcW w:w="5919" w:type="dxa"/>
            <w:vAlign w:val="center"/>
          </w:tcPr>
          <w:p w:rsidR="00EB7D31" w:rsidRPr="00EB7D31" w:rsidRDefault="00EB7D31" w:rsidP="00EB7D31">
            <w:pPr>
              <w:jc w:val="center"/>
              <w:rPr>
                <w:b/>
              </w:rPr>
            </w:pPr>
            <w:r>
              <w:rPr>
                <w:b/>
              </w:rPr>
              <w:t>Odniesienie MEN</w:t>
            </w:r>
          </w:p>
        </w:tc>
      </w:tr>
      <w:tr w:rsidR="00EB7D31" w:rsidTr="00A63C9F">
        <w:tc>
          <w:tcPr>
            <w:tcW w:w="326" w:type="dxa"/>
          </w:tcPr>
          <w:p w:rsidR="00EB7D31" w:rsidRDefault="00EB7D31" w:rsidP="00EB7D31">
            <w:r>
              <w:t>1</w:t>
            </w:r>
          </w:p>
        </w:tc>
        <w:tc>
          <w:tcPr>
            <w:tcW w:w="1229" w:type="dxa"/>
          </w:tcPr>
          <w:p w:rsidR="00EB7D31" w:rsidRPr="00EB7D31" w:rsidRDefault="00EB7D31" w:rsidP="00EB7D31">
            <w:pPr>
              <w:rPr>
                <w:b/>
              </w:rPr>
            </w:pPr>
            <w:proofErr w:type="spellStart"/>
            <w:r w:rsidRPr="00EB7D31">
              <w:rPr>
                <w:b/>
              </w:rPr>
              <w:t>MIiR</w:t>
            </w:r>
            <w:proofErr w:type="spellEnd"/>
            <w:r w:rsidRPr="00EB7D31">
              <w:rPr>
                <w:b/>
              </w:rPr>
              <w:t xml:space="preserve"> (SP)</w:t>
            </w:r>
          </w:p>
        </w:tc>
        <w:tc>
          <w:tcPr>
            <w:tcW w:w="1417" w:type="dxa"/>
          </w:tcPr>
          <w:p w:rsidR="00EB7D31" w:rsidRDefault="00EB7D31" w:rsidP="00EB7D31">
            <w:r>
              <w:t>2.1. Cele i korzyści wynikające z projektu</w:t>
            </w:r>
          </w:p>
        </w:tc>
        <w:tc>
          <w:tcPr>
            <w:tcW w:w="3686" w:type="dxa"/>
          </w:tcPr>
          <w:p w:rsidR="00EB7D31" w:rsidRDefault="00EB7D31" w:rsidP="00EB7D31">
            <w:r>
              <w:t>Jednym z warunków przyznania dofinansowania jest wpisywanie się projektowanych przedsięwzięć w katalog rekomendacji cyfrowego urzędu. Należy uzupełnić opis o informację, w jakim zakresie zostaną zrealizowane działania wskazane w kwestionariuszu katalogu rekomendacji cyfrowego urzędu.</w:t>
            </w:r>
          </w:p>
        </w:tc>
        <w:tc>
          <w:tcPr>
            <w:tcW w:w="1417" w:type="dxa"/>
          </w:tcPr>
          <w:p w:rsidR="00EB7D31" w:rsidRDefault="00EB7D31" w:rsidP="00EB7D31">
            <w:r>
              <w:t>Uzupełnienie opisu założeń projektu.</w:t>
            </w:r>
          </w:p>
        </w:tc>
        <w:tc>
          <w:tcPr>
            <w:tcW w:w="5919" w:type="dxa"/>
          </w:tcPr>
          <w:p w:rsidR="00EB7D31" w:rsidRDefault="00A63C9F" w:rsidP="00EB7D31">
            <w:r>
              <w:rPr>
                <w:i/>
              </w:rPr>
              <w:t>Uwaga uwzględniona</w:t>
            </w:r>
            <w:r>
              <w:t>.</w:t>
            </w:r>
          </w:p>
          <w:p w:rsidR="00A63C9F" w:rsidRDefault="00A63C9F" w:rsidP="00EB7D31"/>
          <w:p w:rsidR="00A63C9F" w:rsidRDefault="00A63C9F" w:rsidP="00A63C9F">
            <w:r>
              <w:t>W jednostce redakcyjnej 2.1. OZPI w celu nr 1 wskazany jest KPI 2 w brzmieniu: „</w:t>
            </w:r>
            <w:r w:rsidRPr="00A63C9F">
              <w:t>Liczba podmiotów, które usprawniły funkcjonowanie w zakresie rekomendacji dotyczących awansu cyfrowego</w:t>
            </w:r>
            <w:r>
              <w:t>”. Jako metodę pomiaru wskazano:</w:t>
            </w:r>
          </w:p>
          <w:p w:rsidR="00A63C9F" w:rsidRDefault="00A63C9F" w:rsidP="00A63C9F">
            <w:r>
              <w:t>„</w:t>
            </w:r>
            <w:r>
              <w:t>Metoda: zakończone wdrożeni</w:t>
            </w:r>
            <w:r>
              <w:t>e systemu – kwestionariusz KRCU</w:t>
            </w:r>
            <w:r>
              <w:t>.</w:t>
            </w:r>
          </w:p>
          <w:p w:rsidR="00A63C9F" w:rsidRDefault="00A63C9F" w:rsidP="00A63C9F">
            <w:r>
              <w:t>Sposób pomiaru: wypełnienie kwestionariusza KRCU po zakończeniu wdrożenia.</w:t>
            </w:r>
          </w:p>
          <w:p w:rsidR="00A63C9F" w:rsidRDefault="00A63C9F" w:rsidP="00A63C9F">
            <w:r>
              <w:t>Źródło danych: wypełniony protokół KRCU.</w:t>
            </w:r>
          </w:p>
          <w:p w:rsidR="00A63C9F" w:rsidRDefault="00A63C9F" w:rsidP="00A63C9F">
            <w:r>
              <w:t>Częstotliwość pomiaru: jednokrotnie, po podpisaniu protokołu odbioru.</w:t>
            </w:r>
            <w:r>
              <w:t>”</w:t>
            </w:r>
          </w:p>
          <w:p w:rsidR="00A63C9F" w:rsidRDefault="00A63C9F" w:rsidP="00A63C9F"/>
          <w:p w:rsidR="00A63C9F" w:rsidRDefault="00A63C9F" w:rsidP="00A63C9F">
            <w:r>
              <w:t xml:space="preserve">Uwzględniając uwagę </w:t>
            </w:r>
            <w:proofErr w:type="spellStart"/>
            <w:r>
              <w:t>MIiR</w:t>
            </w:r>
            <w:proofErr w:type="spellEnd"/>
            <w:r>
              <w:t xml:space="preserve">, powyższy opis został uzupełniony poprzez wskazanie </w:t>
            </w:r>
            <w:r w:rsidR="00097D3F">
              <w:t>standardów określonych w KRCU, w które – w zakresie realizowanych potrzeb interesariuszy – wpisuje się realizowany projekt. Poniżej zapis w zmodyfikowanym brzmieniu:</w:t>
            </w:r>
          </w:p>
          <w:p w:rsidR="00097D3F" w:rsidRDefault="00097D3F" w:rsidP="00A63C9F"/>
          <w:p w:rsidR="00097D3F" w:rsidRDefault="00097D3F" w:rsidP="00097D3F">
            <w:r>
              <w:t>„Metoda: zakończone wdrożenie systemu – kwestionariusz KRCU.</w:t>
            </w:r>
            <w:r>
              <w:t xml:space="preserve"> </w:t>
            </w:r>
          </w:p>
          <w:p w:rsidR="00097D3F" w:rsidRDefault="00097D3F" w:rsidP="00097D3F">
            <w:r>
              <w:t>Sposób pomiaru: wypełnienie kwestionariusza KRCU po zakończeniu wdrożenia.</w:t>
            </w:r>
          </w:p>
          <w:p w:rsidR="00097D3F" w:rsidRDefault="00097D3F" w:rsidP="00097D3F">
            <w:r>
              <w:t>Źródło danych: wypełniony protokół KRCU.</w:t>
            </w:r>
            <w:r>
              <w:t xml:space="preserve"> W ramach projektu zrealizowane zostaną poniższe działania wskazane w KRCU: (1) w ramach standardu 1 – Interoperacyjność: posiadanie i stosowanie Polityki </w:t>
            </w:r>
            <w:bookmarkStart w:id="0" w:name="_GoBack"/>
            <w:bookmarkEnd w:id="0"/>
            <w:r>
              <w:t xml:space="preserve">Bezpieczeństwa Informacji; (2) w ramach standardu 3 – Podnoszenie jakości e-usług: system </w:t>
            </w:r>
            <w:r>
              <w:lastRenderedPageBreak/>
              <w:t xml:space="preserve">spełniający wymagania WCAG 2.0 co najmniej na poziomie wskazanym w KRI, dostęp przez użytkowników do narzędzi wsparcia (FAQ, e-learning); (3) w ramach standardu </w:t>
            </w:r>
            <w:r w:rsidR="005B56FC">
              <w:t>7 – Kompetencje: szkolenie użytkowników systemu z zakresu IT, podnoszenie kompetencji cyfrowych pracowników i współpracowników systemu, narzędzia e-learningowe dedykowane pracownikom i współpracownikom systemu.</w:t>
            </w:r>
          </w:p>
          <w:p w:rsidR="00097D3F" w:rsidRDefault="00097D3F" w:rsidP="00097D3F">
            <w:r>
              <w:t>Częstotliwość pomiaru: jednokrotnie, po podpisaniu protokołu odbioru.”</w:t>
            </w:r>
          </w:p>
          <w:p w:rsidR="00097D3F" w:rsidRDefault="00097D3F" w:rsidP="00097D3F"/>
          <w:p w:rsidR="00097D3F" w:rsidRPr="00097D3F" w:rsidRDefault="00097D3F" w:rsidP="00097D3F">
            <w:r>
              <w:t>Jednocześnie uprzejmie informujemy, że w sposób bardziej kompleksowy kwestie związane z wpisywaniem się projektowanych przedsięwzięć w KRCU omawiane są w </w:t>
            </w:r>
            <w:r>
              <w:rPr>
                <w:i/>
              </w:rPr>
              <w:t>Studium wykonalności</w:t>
            </w:r>
            <w:r>
              <w:t xml:space="preserve"> opracowywanym dla projektu.</w:t>
            </w:r>
          </w:p>
        </w:tc>
      </w:tr>
      <w:tr w:rsidR="00EB7D31" w:rsidTr="00A63C9F">
        <w:tc>
          <w:tcPr>
            <w:tcW w:w="326" w:type="dxa"/>
          </w:tcPr>
          <w:p w:rsidR="00EB7D31" w:rsidRDefault="00EB7D31" w:rsidP="00EB7D31">
            <w:r>
              <w:lastRenderedPageBreak/>
              <w:t>2</w:t>
            </w:r>
          </w:p>
        </w:tc>
        <w:tc>
          <w:tcPr>
            <w:tcW w:w="1229" w:type="dxa"/>
          </w:tcPr>
          <w:p w:rsidR="00EB7D31" w:rsidRPr="00EB7D31" w:rsidRDefault="00EB7D31" w:rsidP="00EB7D31">
            <w:pPr>
              <w:rPr>
                <w:b/>
              </w:rPr>
            </w:pPr>
            <w:proofErr w:type="spellStart"/>
            <w:r>
              <w:rPr>
                <w:b/>
              </w:rPr>
              <w:t>MIiR</w:t>
            </w:r>
            <w:proofErr w:type="spellEnd"/>
            <w:r>
              <w:rPr>
                <w:b/>
              </w:rPr>
              <w:t xml:space="preserve"> (SP)</w:t>
            </w:r>
          </w:p>
        </w:tc>
        <w:tc>
          <w:tcPr>
            <w:tcW w:w="1417" w:type="dxa"/>
          </w:tcPr>
          <w:p w:rsidR="00EB7D31" w:rsidRDefault="00EB7D31" w:rsidP="00EB7D31">
            <w:r>
              <w:t>3. Kamienie milowe</w:t>
            </w:r>
          </w:p>
        </w:tc>
        <w:tc>
          <w:tcPr>
            <w:tcW w:w="3686" w:type="dxa"/>
          </w:tcPr>
          <w:p w:rsidR="00EB7D31" w:rsidRDefault="00EB7D31" w:rsidP="00EB7D31">
            <w:r>
              <w:t>W projekcie zdefiniowano 5 kamieni milowych, jednak ich rozmieszczenie w czasie nie zapewni właściwego monitorowania projektu (3 kamienie zostały zdefiniowane dla ostatniego kwartału, w którym będzie realizowany projekt, brak punktów kontrolnych w całym 2021 r.). Proponuje się zdefiniowanie 2–3 dodatkowych punktów kontrolnych przypisanych dla różnych kwartałów 2021 r. dla działań przewidzianych w 2021 r.</w:t>
            </w:r>
          </w:p>
        </w:tc>
        <w:tc>
          <w:tcPr>
            <w:tcW w:w="1417" w:type="dxa"/>
          </w:tcPr>
          <w:p w:rsidR="00EB7D31" w:rsidRDefault="00EB7D31" w:rsidP="00EB7D31">
            <w:r>
              <w:t>Uzupełnienie zestawu kamieni milowych w opisie założeń projektu.</w:t>
            </w:r>
          </w:p>
        </w:tc>
        <w:tc>
          <w:tcPr>
            <w:tcW w:w="5919" w:type="dxa"/>
          </w:tcPr>
          <w:p w:rsidR="00EB7D31" w:rsidRDefault="00EB7D31" w:rsidP="00EB7D31">
            <w:r>
              <w:rPr>
                <w:i/>
              </w:rPr>
              <w:t>Uwaga uwzględniona</w:t>
            </w:r>
            <w:r>
              <w:t>.</w:t>
            </w:r>
          </w:p>
          <w:p w:rsidR="00EB7D31" w:rsidRDefault="00EB7D31" w:rsidP="00EB7D31"/>
          <w:p w:rsidR="00A63C9F" w:rsidRDefault="00EB7D31" w:rsidP="00A63C9F">
            <w:r>
              <w:t xml:space="preserve">Na konieczność zdefiniowania dodatkowego kamienia milowego w projekcie uwagę zwróciła Rada Architektury, </w:t>
            </w:r>
            <w:r w:rsidR="00A63C9F">
              <w:t xml:space="preserve">która w </w:t>
            </w:r>
            <w:r w:rsidR="00A63C9F" w:rsidRPr="00A63C9F">
              <w:rPr>
                <w:i/>
              </w:rPr>
              <w:t>Karcie oceny projektu nr P237 przez zespół zadaniowy Rada Architektury IT</w:t>
            </w:r>
            <w:r w:rsidR="00A63C9F">
              <w:t xml:space="preserve"> zarekomendowała „d</w:t>
            </w:r>
            <w:r w:rsidR="00A63C9F">
              <w:t>odanie kamienia milowego uw</w:t>
            </w:r>
            <w:r w:rsidR="00A63C9F">
              <w:t xml:space="preserve">zględniającego budowę prototypu </w:t>
            </w:r>
            <w:r w:rsidR="00A63C9F">
              <w:t>rozwiązania pomiędzy</w:t>
            </w:r>
            <w:r w:rsidR="00A63C9F">
              <w:t xml:space="preserve"> drugim kamieniem milowym: „Opracowanie i zatwierdzenie projektu </w:t>
            </w:r>
            <w:r w:rsidR="00A63C9F">
              <w:t>technicznego systemu informatycznego do</w:t>
            </w:r>
          </w:p>
          <w:p w:rsidR="00EB7D31" w:rsidRPr="00A63C9F" w:rsidRDefault="00A63C9F" w:rsidP="00A63C9F">
            <w:r w:rsidRPr="00A63C9F">
              <w:rPr>
                <w:i/>
              </w:rPr>
              <w:t>e-oceniania</w:t>
            </w:r>
            <w:r>
              <w:t xml:space="preserve">” (30.11.2020) a trzecim: „Uruchomienie produkcyjne </w:t>
            </w:r>
            <w:r>
              <w:t>systemu informatycznego” (28.02.2022)</w:t>
            </w:r>
            <w:r>
              <w:t>”. Zarekomendowany przez Radę Architektury kamień milowy, tj. prototyp rozwiązania, został dodany jako szósty kamień milowy, z planowaną datą zakończenia 31.07.2021 r. OZPI został uzupełniony w tym zakresie.</w:t>
            </w:r>
          </w:p>
        </w:tc>
      </w:tr>
    </w:tbl>
    <w:p w:rsidR="00EB7D31" w:rsidRDefault="00EB7D31"/>
    <w:sectPr w:rsidR="00EB7D31" w:rsidSect="00EB7D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31"/>
    <w:rsid w:val="00097D3F"/>
    <w:rsid w:val="005B56FC"/>
    <w:rsid w:val="0077653C"/>
    <w:rsid w:val="00A63C9F"/>
    <w:rsid w:val="00EB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4DABD-832B-4915-BCA4-2DDD4EF11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B7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</cp:revision>
  <dcterms:created xsi:type="dcterms:W3CDTF">2019-09-23T11:29:00Z</dcterms:created>
  <dcterms:modified xsi:type="dcterms:W3CDTF">2019-09-23T12:08:00Z</dcterms:modified>
</cp:coreProperties>
</file>